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4D84" w:rsidRPr="00775EB7" w:rsidRDefault="00CB4D84" w:rsidP="00CB4D84">
      <w:pPr>
        <w:jc w:val="center"/>
        <w:rPr>
          <w:rFonts w:ascii="Garamond" w:hAnsi="Garamond"/>
          <w:b/>
          <w:sz w:val="22"/>
          <w:szCs w:val="22"/>
        </w:rPr>
      </w:pPr>
      <w:r w:rsidRPr="00775EB7">
        <w:rPr>
          <w:rFonts w:ascii="Garamond" w:hAnsi="Garamond"/>
          <w:b/>
          <w:sz w:val="22"/>
          <w:szCs w:val="22"/>
        </w:rPr>
        <w:t>Tantárgyi program</w:t>
      </w:r>
    </w:p>
    <w:p w:rsidR="00CB4D84" w:rsidRPr="00775EB7" w:rsidRDefault="00CB4D84" w:rsidP="00CB4D84">
      <w:pPr>
        <w:rPr>
          <w:rFonts w:ascii="Garamond" w:hAnsi="Garamond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17"/>
        <w:gridCol w:w="5039"/>
      </w:tblGrid>
      <w:tr w:rsidR="00CB4D84" w:rsidRPr="00775EB7" w:rsidTr="00DE5211">
        <w:tc>
          <w:tcPr>
            <w:tcW w:w="4077" w:type="dxa"/>
            <w:vMerge w:val="restart"/>
          </w:tcPr>
          <w:p w:rsidR="00CB4D84" w:rsidRPr="00775EB7" w:rsidRDefault="00CB4D84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Tantárgy neve: </w:t>
            </w:r>
            <w:bookmarkStart w:id="0" w:name="_GoBack"/>
            <w:r w:rsidRPr="00775EB7">
              <w:rPr>
                <w:rFonts w:ascii="Garamond" w:hAnsi="Garamond"/>
                <w:b/>
                <w:sz w:val="22"/>
                <w:szCs w:val="22"/>
              </w:rPr>
              <w:t>Nemzetközi jogi szakszeminárium II.</w:t>
            </w:r>
            <w:bookmarkEnd w:id="0"/>
          </w:p>
        </w:tc>
        <w:tc>
          <w:tcPr>
            <w:tcW w:w="5135" w:type="dxa"/>
          </w:tcPr>
          <w:p w:rsidR="00CB4D84" w:rsidRPr="00775EB7" w:rsidRDefault="00CB4D84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Neptun kódja: DFDIÁJ219N2, DFDIÁJ219L2</w:t>
            </w:r>
          </w:p>
        </w:tc>
      </w:tr>
      <w:tr w:rsidR="00CB4D84" w:rsidRPr="00775EB7" w:rsidTr="00DE5211">
        <w:tc>
          <w:tcPr>
            <w:tcW w:w="4077" w:type="dxa"/>
            <w:vMerge/>
          </w:tcPr>
          <w:p w:rsidR="00CB4D84" w:rsidRPr="00775EB7" w:rsidRDefault="00CB4D84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5135" w:type="dxa"/>
          </w:tcPr>
          <w:p w:rsidR="00CB4D84" w:rsidRPr="00775EB7" w:rsidRDefault="00CB4D84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Tantárgy jellege: kötelezően választandó</w:t>
            </w:r>
          </w:p>
        </w:tc>
      </w:tr>
      <w:tr w:rsidR="00CB4D84" w:rsidRPr="00775EB7" w:rsidTr="00DE5211">
        <w:tc>
          <w:tcPr>
            <w:tcW w:w="9212" w:type="dxa"/>
            <w:gridSpan w:val="2"/>
          </w:tcPr>
          <w:p w:rsidR="00CB4D84" w:rsidRPr="00775EB7" w:rsidRDefault="00CB4D84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Tantárgyfelelős neve, beosztása: Dr. Raisz Anikó egyetemi docens</w:t>
            </w:r>
          </w:p>
        </w:tc>
      </w:tr>
      <w:tr w:rsidR="00CB4D84" w:rsidRPr="00775EB7" w:rsidTr="00DE5211">
        <w:tc>
          <w:tcPr>
            <w:tcW w:w="9212" w:type="dxa"/>
            <w:gridSpan w:val="2"/>
          </w:tcPr>
          <w:p w:rsidR="00CB4D84" w:rsidRPr="00775EB7" w:rsidRDefault="00CB4D84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Oktatásba bevont oktatók neve, beosztása:</w:t>
            </w:r>
          </w:p>
        </w:tc>
      </w:tr>
      <w:tr w:rsidR="00CB4D84" w:rsidRPr="00775EB7" w:rsidTr="00DE5211">
        <w:tc>
          <w:tcPr>
            <w:tcW w:w="4077" w:type="dxa"/>
          </w:tcPr>
          <w:p w:rsidR="00CB4D84" w:rsidRPr="00775EB7" w:rsidRDefault="00CB4D84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Félév: páratlan/</w:t>
            </w:r>
            <w:r w:rsidRPr="00775EB7">
              <w:rPr>
                <w:rFonts w:ascii="Garamond" w:hAnsi="Garamond"/>
                <w:sz w:val="22"/>
                <w:szCs w:val="22"/>
                <w:u w:val="single"/>
              </w:rPr>
              <w:t>páros</w:t>
            </w:r>
          </w:p>
        </w:tc>
        <w:tc>
          <w:tcPr>
            <w:tcW w:w="5135" w:type="dxa"/>
          </w:tcPr>
          <w:p w:rsidR="00CB4D84" w:rsidRPr="00775EB7" w:rsidRDefault="00CB4D84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Óraszám/félév: 15</w:t>
            </w:r>
          </w:p>
        </w:tc>
      </w:tr>
      <w:tr w:rsidR="00CB4D84" w:rsidRPr="00775EB7" w:rsidTr="00DE5211">
        <w:tc>
          <w:tcPr>
            <w:tcW w:w="4077" w:type="dxa"/>
          </w:tcPr>
          <w:p w:rsidR="00CB4D84" w:rsidRPr="00775EB7" w:rsidRDefault="00CB4D84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Kreditérték: 3</w:t>
            </w:r>
          </w:p>
        </w:tc>
        <w:tc>
          <w:tcPr>
            <w:tcW w:w="5135" w:type="dxa"/>
          </w:tcPr>
          <w:p w:rsidR="00CB4D84" w:rsidRPr="00775EB7" w:rsidRDefault="00CB4D84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Számonkérés: kollokvium</w:t>
            </w:r>
          </w:p>
        </w:tc>
      </w:tr>
      <w:tr w:rsidR="00CB4D84" w:rsidRPr="00775EB7" w:rsidTr="00DE5211">
        <w:tc>
          <w:tcPr>
            <w:tcW w:w="9212" w:type="dxa"/>
            <w:gridSpan w:val="2"/>
          </w:tcPr>
          <w:p w:rsidR="00CB4D84" w:rsidRPr="00775EB7" w:rsidRDefault="00CB4D84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Tantárgy feladata, célja:</w:t>
            </w:r>
          </w:p>
          <w:p w:rsidR="00CB4D84" w:rsidRPr="00775EB7" w:rsidRDefault="00CB4D84" w:rsidP="00DE5211">
            <w:pPr>
              <w:rPr>
                <w:rFonts w:ascii="Garamond" w:hAnsi="Garamond"/>
                <w:b/>
                <w:sz w:val="22"/>
                <w:szCs w:val="22"/>
              </w:rPr>
            </w:pPr>
          </w:p>
          <w:p w:rsidR="00CB4D84" w:rsidRPr="00775EB7" w:rsidRDefault="00CB4D84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A tantárgy oktatásának célja, hogy az egyetemi jogász képzés során szerzett, nemzetközi jogra vonatkozó hallgatói tudást elmélyítse, a hazai és nemzetközi szakirodalom és a nemzetközi bíráskodás gondos megismerésére sarkallja a hallgatókat, és ezáltal fejlessze a nemzetközi jog intézményeinek működésével kapcsolatos kritikai szemléletet.</w:t>
            </w:r>
          </w:p>
          <w:p w:rsidR="00CB4D84" w:rsidRPr="00775EB7" w:rsidRDefault="00CB4D84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CB4D84" w:rsidRPr="00775EB7" w:rsidTr="00DE5211">
        <w:tc>
          <w:tcPr>
            <w:tcW w:w="9212" w:type="dxa"/>
            <w:gridSpan w:val="2"/>
          </w:tcPr>
          <w:p w:rsidR="00CB4D84" w:rsidRPr="00775EB7" w:rsidRDefault="00CB4D84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Tantárgyi tematika (heti bontásban</w:t>
            </w:r>
            <w:r w:rsidRPr="00775EB7">
              <w:rPr>
                <w:rFonts w:ascii="Garamond" w:hAnsi="Garamond"/>
                <w:sz w:val="22"/>
                <w:szCs w:val="22"/>
              </w:rPr>
              <w:t>):</w:t>
            </w:r>
          </w:p>
          <w:p w:rsidR="00CB4D84" w:rsidRPr="00775EB7" w:rsidRDefault="00CB4D84" w:rsidP="00DE5211">
            <w:pPr>
              <w:rPr>
                <w:rFonts w:ascii="Garamond" w:hAnsi="Garamond"/>
                <w:sz w:val="22"/>
                <w:szCs w:val="22"/>
              </w:rPr>
            </w:pPr>
          </w:p>
          <w:p w:rsidR="00CB4D84" w:rsidRPr="00775EB7" w:rsidRDefault="00CB4D84" w:rsidP="00CB4D84">
            <w:pPr>
              <w:pStyle w:val="bek2"/>
              <w:numPr>
                <w:ilvl w:val="0"/>
                <w:numId w:val="1"/>
              </w:numPr>
              <w:tabs>
                <w:tab w:val="clear" w:pos="5670"/>
              </w:tabs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A nemzetközi szervezetek, mint a nemzetközi jog alanyai</w:t>
            </w:r>
          </w:p>
          <w:p w:rsidR="00CB4D84" w:rsidRPr="00775EB7" w:rsidRDefault="00CB4D84" w:rsidP="00CB4D84">
            <w:pPr>
              <w:pStyle w:val="bek2"/>
              <w:numPr>
                <w:ilvl w:val="0"/>
                <w:numId w:val="1"/>
              </w:numPr>
              <w:tabs>
                <w:tab w:val="clear" w:pos="5670"/>
              </w:tabs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Az egyén a nemzetközi jogban, az emberi jogok védelme univerzális szinten</w:t>
            </w:r>
          </w:p>
          <w:p w:rsidR="00CB4D84" w:rsidRPr="00775EB7" w:rsidRDefault="00CB4D84" w:rsidP="00CB4D84">
            <w:pPr>
              <w:pStyle w:val="bek2"/>
              <w:numPr>
                <w:ilvl w:val="0"/>
                <w:numId w:val="1"/>
              </w:numPr>
              <w:tabs>
                <w:tab w:val="clear" w:pos="5670"/>
              </w:tabs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Az emberi jogok védelme regionális szinten. </w:t>
            </w:r>
          </w:p>
          <w:p w:rsidR="00CB4D84" w:rsidRPr="00775EB7" w:rsidRDefault="00CB4D84" w:rsidP="00CB4D84">
            <w:pPr>
              <w:pStyle w:val="bek2"/>
              <w:numPr>
                <w:ilvl w:val="0"/>
                <w:numId w:val="1"/>
              </w:numPr>
              <w:tabs>
                <w:tab w:val="clear" w:pos="5670"/>
              </w:tabs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Kisebbségvédelem, menekültjog, különleges jogok a munka világában</w:t>
            </w:r>
          </w:p>
          <w:p w:rsidR="00CB4D84" w:rsidRPr="00775EB7" w:rsidRDefault="00CB4D84" w:rsidP="00CB4D84">
            <w:pPr>
              <w:pStyle w:val="bek2"/>
              <w:numPr>
                <w:ilvl w:val="0"/>
                <w:numId w:val="1"/>
              </w:numPr>
              <w:tabs>
                <w:tab w:val="clear" w:pos="5670"/>
              </w:tabs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Az egyén nemzetközi jogi felelőssége a nemzetközi bűncselekményekért, felelősségre vonás az ad hoc törvényszékek előtt</w:t>
            </w:r>
          </w:p>
          <w:p w:rsidR="00CB4D84" w:rsidRPr="00775EB7" w:rsidRDefault="00CB4D84" w:rsidP="00CB4D84">
            <w:pPr>
              <w:pStyle w:val="bek2"/>
              <w:numPr>
                <w:ilvl w:val="0"/>
                <w:numId w:val="1"/>
              </w:numPr>
              <w:tabs>
                <w:tab w:val="clear" w:pos="5670"/>
              </w:tabs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Az egyén nemzetközi jogi felelőssége a nemzetközi bűncselekményekért, felelősségre vonás a Nemzetközi Büntetőbíróság előtt</w:t>
            </w:r>
          </w:p>
          <w:p w:rsidR="00CB4D84" w:rsidRPr="00775EB7" w:rsidRDefault="00CB4D84" w:rsidP="00CB4D84">
            <w:pPr>
              <w:pStyle w:val="bek2"/>
              <w:numPr>
                <w:ilvl w:val="0"/>
                <w:numId w:val="1"/>
              </w:numPr>
              <w:tabs>
                <w:tab w:val="clear" w:pos="5670"/>
              </w:tabs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A diplomáciai kapcsolatok joga, a diplomáciai képviselet funkciói, a diplomáciai megbízatás. </w:t>
            </w:r>
          </w:p>
          <w:p w:rsidR="00CB4D84" w:rsidRPr="00775EB7" w:rsidRDefault="00CB4D84" w:rsidP="00CB4D84">
            <w:pPr>
              <w:pStyle w:val="bek2"/>
              <w:numPr>
                <w:ilvl w:val="0"/>
                <w:numId w:val="1"/>
              </w:numPr>
              <w:tabs>
                <w:tab w:val="clear" w:pos="5670"/>
              </w:tabs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A konzuli kapcsolatok joga, a konzul feladatköre, megbízatása, kiváltságok és mentességek</w:t>
            </w:r>
          </w:p>
          <w:p w:rsidR="00CB4D84" w:rsidRPr="00775EB7" w:rsidRDefault="00CB4D84" w:rsidP="00CB4D84">
            <w:pPr>
              <w:pStyle w:val="bek2"/>
              <w:numPr>
                <w:ilvl w:val="0"/>
                <w:numId w:val="1"/>
              </w:numPr>
              <w:tabs>
                <w:tab w:val="clear" w:pos="5670"/>
              </w:tabs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Az államok nemzetközi jogi felelőssége</w:t>
            </w:r>
          </w:p>
          <w:p w:rsidR="00CB4D84" w:rsidRPr="00775EB7" w:rsidRDefault="00CB4D84" w:rsidP="00CB4D84">
            <w:pPr>
              <w:pStyle w:val="bek2"/>
              <w:numPr>
                <w:ilvl w:val="0"/>
                <w:numId w:val="1"/>
              </w:numPr>
              <w:tabs>
                <w:tab w:val="clear" w:pos="5670"/>
              </w:tabs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A viták békés rendezése, </w:t>
            </w:r>
            <w:r w:rsidRPr="00775EB7">
              <w:rPr>
                <w:rFonts w:ascii="Garamond" w:hAnsi="Garamond"/>
                <w:bCs/>
                <w:sz w:val="22"/>
                <w:szCs w:val="22"/>
              </w:rPr>
              <w:t>a nemzetközi jogvita és a rendezés fogalma, a nem bírói vitarendezési módok, a választottbírósági vitarendezési módok</w:t>
            </w:r>
          </w:p>
          <w:p w:rsidR="00CB4D84" w:rsidRPr="00775EB7" w:rsidRDefault="00CB4D84" w:rsidP="00CB4D84">
            <w:pPr>
              <w:pStyle w:val="bek2"/>
              <w:numPr>
                <w:ilvl w:val="0"/>
                <w:numId w:val="1"/>
              </w:numPr>
              <w:tabs>
                <w:tab w:val="clear" w:pos="5670"/>
              </w:tabs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bCs/>
                <w:sz w:val="22"/>
                <w:szCs w:val="22"/>
              </w:rPr>
              <w:t>A Nemzetközi Bíróság és szerepe a viták békés rendezésében</w:t>
            </w:r>
          </w:p>
          <w:p w:rsidR="00CB4D84" w:rsidRPr="00775EB7" w:rsidRDefault="00CB4D84" w:rsidP="00CB4D84">
            <w:pPr>
              <w:pStyle w:val="bek2"/>
              <w:numPr>
                <w:ilvl w:val="0"/>
                <w:numId w:val="1"/>
              </w:numPr>
              <w:tabs>
                <w:tab w:val="clear" w:pos="5670"/>
              </w:tabs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A kényszer alkalmazása és következményei a nemzetközi jogban</w:t>
            </w:r>
          </w:p>
          <w:p w:rsidR="00CB4D84" w:rsidRPr="00775EB7" w:rsidRDefault="00CB4D84" w:rsidP="00CB4D84">
            <w:pPr>
              <w:pStyle w:val="bek2"/>
              <w:numPr>
                <w:ilvl w:val="0"/>
                <w:numId w:val="1"/>
              </w:numPr>
              <w:tabs>
                <w:tab w:val="clear" w:pos="5670"/>
              </w:tabs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A hadviselés során alkalmazandó nemzetközi jogi szabályok</w:t>
            </w:r>
          </w:p>
          <w:p w:rsidR="00CB4D84" w:rsidRPr="00775EB7" w:rsidRDefault="00CB4D84" w:rsidP="00CB4D84">
            <w:pPr>
              <w:pStyle w:val="bek2"/>
              <w:numPr>
                <w:ilvl w:val="0"/>
                <w:numId w:val="1"/>
              </w:numPr>
              <w:tabs>
                <w:tab w:val="clear" w:pos="5670"/>
              </w:tabs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Tengerjog, az édesvizekre vonatkozó nemzetközi jogi szabályrendszerek alapelemei, a légtérre vonatkozó nemzetközi jogi szabályok, világűrjog</w:t>
            </w:r>
          </w:p>
          <w:p w:rsidR="00CB4D84" w:rsidRPr="00775EB7" w:rsidRDefault="00CB4D84" w:rsidP="00CB4D84">
            <w:pPr>
              <w:numPr>
                <w:ilvl w:val="0"/>
                <w:numId w:val="1"/>
              </w:numPr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A környezet védelmének legfontosabb nemzetközi jogi szabályai</w:t>
            </w:r>
          </w:p>
          <w:p w:rsidR="00CB4D84" w:rsidRPr="00775EB7" w:rsidRDefault="00CB4D84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</w:p>
        </w:tc>
      </w:tr>
      <w:tr w:rsidR="00CB4D84" w:rsidRPr="00775EB7" w:rsidTr="00DE5211">
        <w:tc>
          <w:tcPr>
            <w:tcW w:w="9212" w:type="dxa"/>
            <w:gridSpan w:val="2"/>
          </w:tcPr>
          <w:p w:rsidR="00CB4D84" w:rsidRPr="00775EB7" w:rsidRDefault="00CB4D84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Számonkérés módja</w:t>
            </w:r>
            <w:r w:rsidRPr="00775EB7">
              <w:rPr>
                <w:rFonts w:ascii="Garamond" w:hAnsi="Garamond"/>
                <w:sz w:val="22"/>
                <w:szCs w:val="22"/>
              </w:rPr>
              <w:t>: írásbeli</w:t>
            </w:r>
          </w:p>
        </w:tc>
      </w:tr>
      <w:tr w:rsidR="00CB4D84" w:rsidRPr="00775EB7" w:rsidTr="00DE5211">
        <w:tc>
          <w:tcPr>
            <w:tcW w:w="9212" w:type="dxa"/>
            <w:gridSpan w:val="2"/>
          </w:tcPr>
          <w:p w:rsidR="00CB4D84" w:rsidRPr="00775EB7" w:rsidRDefault="00CB4D84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Kötelező irodalom:</w:t>
            </w:r>
          </w:p>
          <w:p w:rsidR="00CB4D84" w:rsidRPr="00775EB7" w:rsidRDefault="00CB4D84" w:rsidP="00DE5211">
            <w:pPr>
              <w:rPr>
                <w:rFonts w:ascii="Garamond" w:hAnsi="Garamond"/>
                <w:b/>
                <w:sz w:val="22"/>
                <w:szCs w:val="22"/>
              </w:rPr>
            </w:pPr>
          </w:p>
          <w:p w:rsidR="00CB4D84" w:rsidRPr="00775EB7" w:rsidRDefault="00CB4D84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magyar nyelvű</w:t>
            </w:r>
          </w:p>
          <w:p w:rsidR="00CB4D84" w:rsidRPr="00775EB7" w:rsidRDefault="00CB4D84" w:rsidP="00DE5211">
            <w:pPr>
              <w:shd w:val="clear" w:color="auto" w:fill="FFFFFF"/>
              <w:ind w:left="284"/>
              <w:rPr>
                <w:rFonts w:ascii="Garamond" w:eastAsia="Times New Roman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z w:val="22"/>
                <w:szCs w:val="22"/>
              </w:rPr>
              <w:t>1. Kende Tamás - Nagy Boldizsár - Sonnevend Pál - Valki László (szerk.), Nemzetközi jog, Complex Kiadó, 2014, 455-832. o.</w:t>
            </w:r>
          </w:p>
          <w:p w:rsidR="00CB4D84" w:rsidRPr="00775EB7" w:rsidRDefault="00CB4D84" w:rsidP="00DE5211">
            <w:pPr>
              <w:shd w:val="clear" w:color="auto" w:fill="FFFFFF"/>
              <w:ind w:left="284"/>
              <w:rPr>
                <w:rFonts w:ascii="Garamond" w:eastAsia="Times New Roman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z w:val="22"/>
                <w:szCs w:val="22"/>
              </w:rPr>
              <w:t>2. Kovács Péter: A nemzetközi jog fejlesztésének lehetőségei és korlátai a nemzetközi bíróságok joggyakorlatában. Pázmány Press, 2010. 121-187. o.</w:t>
            </w:r>
          </w:p>
          <w:p w:rsidR="00CB4D84" w:rsidRPr="00775EB7" w:rsidRDefault="00CB4D84" w:rsidP="00DE5211">
            <w:pPr>
              <w:rPr>
                <w:rFonts w:ascii="Garamond" w:hAnsi="Garamond"/>
                <w:sz w:val="22"/>
                <w:szCs w:val="22"/>
              </w:rPr>
            </w:pPr>
          </w:p>
          <w:p w:rsidR="00CB4D84" w:rsidRPr="00775EB7" w:rsidRDefault="00CB4D84" w:rsidP="00DE5211">
            <w:pPr>
              <w:rPr>
                <w:rFonts w:ascii="Garamond" w:hAnsi="Garamond"/>
                <w:sz w:val="22"/>
                <w:szCs w:val="22"/>
              </w:rPr>
            </w:pPr>
          </w:p>
          <w:p w:rsidR="00CB4D84" w:rsidRPr="00775EB7" w:rsidRDefault="00CB4D84" w:rsidP="00DE5211">
            <w:pPr>
              <w:rPr>
                <w:rFonts w:ascii="Garamond" w:hAnsi="Garamond"/>
                <w:sz w:val="22"/>
                <w:szCs w:val="22"/>
              </w:rPr>
            </w:pPr>
          </w:p>
          <w:p w:rsidR="00CB4D84" w:rsidRPr="00775EB7" w:rsidRDefault="00CB4D84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idegen nyelvű</w:t>
            </w:r>
          </w:p>
          <w:p w:rsidR="00CB4D84" w:rsidRPr="00775EB7" w:rsidRDefault="00CB4D84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  <w:shd w:val="clear" w:color="auto" w:fill="FFFFFF"/>
              </w:rPr>
              <w:t>1. Ian Brownlie, Principles of Public International Law, Oxford University Press, 2003, 553-729. o.</w:t>
            </w:r>
          </w:p>
          <w:p w:rsidR="00CB4D84" w:rsidRPr="00775EB7" w:rsidRDefault="00CB4D84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CB4D84" w:rsidRPr="00775EB7" w:rsidTr="00DE5211">
        <w:tc>
          <w:tcPr>
            <w:tcW w:w="9212" w:type="dxa"/>
            <w:gridSpan w:val="2"/>
          </w:tcPr>
          <w:p w:rsidR="00CB4D84" w:rsidRPr="00775EB7" w:rsidRDefault="00CB4D84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Ajánlott irodalom:</w:t>
            </w:r>
          </w:p>
          <w:p w:rsidR="00CB4D84" w:rsidRPr="00775EB7" w:rsidRDefault="00CB4D84" w:rsidP="00DE5211">
            <w:pPr>
              <w:rPr>
                <w:rFonts w:ascii="Garamond" w:hAnsi="Garamond"/>
                <w:b/>
                <w:sz w:val="22"/>
                <w:szCs w:val="22"/>
              </w:rPr>
            </w:pPr>
          </w:p>
          <w:p w:rsidR="00CB4D84" w:rsidRPr="00775EB7" w:rsidRDefault="00CB4D84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magyar nyelvű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Gál Gyula: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Világűrjog. Budapest, 1964, Közgazdasági és Jogi Könyvkiadó.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lastRenderedPageBreak/>
              <w:t>Haraszti György: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A nemzetközi szerződések értelmezésének alapvető kérdései. Budapest, 1965, Közgazdasági és Jogi Könyvkiadó.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Haraszti György: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Nemzetközi szerződések megszűnése. Budapest, 1973. Közgazdasági és Jogi Könyvkiadó.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Haraszti György: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A Nemzetközi Bíróság joggyakorlata 1946–1956. Budapest, 1958, Közgazdasági és Jogi Könyvkiadó.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Hárs Ernő: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A nemzetközi szervezetek világa. Budapest, 1982, Gondolat.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Herczegh Géza: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A gyarmati kérdés és a nemzetközi jog. Budapest, 1962, Közgazdasági és Jogi Könyvkiadó.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Herczegh Géza: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General principles of law and international legal order. Budapest, 1969, Közgazdasági és Jogi Könyvkiadó. Magyarul: A jog általános elvei és a nemzetközi jog. Kandidátusi értekezés. – MTA Könyvtár, illetve Országgyűlési Könyvtárban fellelhető példányok.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Herczegh Géza: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A humanitárius nemzetközi jog fejlődése és mai problémái. Budapest, 1981, Közgazdasági és Jogi Könyvkiadó.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Herczegh Géza: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Magyarország külpolitikája (896–1919). Budapest, 1987, Kossuth.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z w:val="22"/>
                <w:szCs w:val="22"/>
              </w:rPr>
              <w:t>HERCZEGH GÉZA-ARDAY LAJOS-JOHANCSIK JÁNOS: Magyarország nemzetközi kapcsolatainak története Budapest 2001 Zrínyi Miklós Nemzetvédelmi Egyetem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Herczegh Géza: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A nemzetközi jogalkotás mai lehetőségei és korlátai. (Akadémiai székfoglaló.) Budapest, 1987, Akadémiai.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Herczegh Géza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(szerk): Tanulmányok a nemzeti kisebbségek jogi védelméről. I–II. kötet, Pécs, 1988. JPTE.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Juhász Gyula: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Magyarország külpolitikája (1919–1945). Budapest, 1988, Kossuth.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Kardos Gábor: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Emberi jogok egy új korszak határán. Budapest, 1995, 1995, T-Twins Kiadó.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Kende Tamás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(szerk): Európai közjog és politika. Budapest, 1995, Századvég–Osiris.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z w:val="22"/>
                <w:szCs w:val="22"/>
              </w:rPr>
              <w:t>KENDE TAMÁS (szerk): Nemzetközi jogi szemelvények és dokumentumok I-II Budapest 2000 Osiris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Kovács Péter: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Az európai kisebbségvédelem a ’90-es években. Miskolc, 1995, Miskolci Egyetemi Kiadó.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Kovács Péter: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Nemzetközi jog és kisebbségvédelem. Osiris 1996 Budapest, 1996, Osiris.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Lamm Vanda: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A nukleáris energia hasznosításának nemzetközi jogi kérdései. Budapest, 1983, Közgazdasági és Jogi Könyvkiadó.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Lamm Vanda: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A hágai Nemzetközi Bíróság döntései. Budapest, 1984, Gondolat.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Lamm Vanda: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Az államok közötti viták bírói rendezésének története. Budapest, 1990, Akadémiai.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Lamm Vanda: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A Nemzetközi Bíróság ítéletei és tanácsadó véleményei 1945–1993. Budapest, 1995, Közgazdasági és Jogi Könyvkiadó.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Mádl Ferenc: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Az Európai Gazdasági Közösség joga. Budapest, 1974, Akadémiai.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Mavi Viktor: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Az Európa Tanács és az emberi jogok. Budapest, 1993, Imre L. Kiadó.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Nagy Károly: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Az állam elismerése a nemzetközi jogban. Szeged, 1967, Acta Universitatis Szegediensis de Attila József nominatae.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Nagy Károly: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Az állam felelőssége a nemzetközi jog megsértése miatt. Budapest, 1991, Akadémiai.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Nagy Károly: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A nemzetközi jog, valamint Magyarország külkapcsolatainak története. Lakitelek, 1995, Antológia Kiadó.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Prandler Árpád: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Az ENSZ Biztonsági Tanácsa. Budapest. 1974, Közgazdasági és Jogi Könyvkiadó.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Sajó András: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Félemelet Bábelben. Budapest, 1983. Kozmosz.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Szirtes I. János: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A semlegesség Európában. Budapest. 1988, Kossuth.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Ustor Endre: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A diplomáciai kapcsolatok joga. Budapest. 1965, Közgazdasági és Jogi Könyvkiadó.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Valki László: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A Közös Piac szervezeti és döntéshozatali mechanizmusa. Budapest, 1977, Közgazdasági és Jogi Könyvkiadó.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Valki László: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A nemzetközi jog sajátos társadalmi természete. Budapest, 1981, Akadémiai.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Valki László: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A nemzetközi jog társadalmi természete. Budapest, 1989, Közgazdasági és Jogi Könyvkiadó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z w:val="22"/>
                <w:szCs w:val="22"/>
              </w:rPr>
              <w:t>VALKI LÁSZLÓ (szerk): A NATO Budapest 1999 Corvina</w:t>
            </w:r>
          </w:p>
          <w:p w:rsidR="00CB4D84" w:rsidRPr="00775EB7" w:rsidRDefault="00CB4D84" w:rsidP="00CB4D84">
            <w:pPr>
              <w:pStyle w:val="Listaszerbekezds"/>
              <w:numPr>
                <w:ilvl w:val="0"/>
                <w:numId w:val="2"/>
              </w:numPr>
              <w:ind w:left="284" w:firstLine="0"/>
              <w:contextualSpacing w:val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lastRenderedPageBreak/>
              <w:t>Zádor Tibor: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 Főtitkárok az ENSZ-ben. Budapest, 1984, Kossuth.</w:t>
            </w:r>
          </w:p>
          <w:p w:rsidR="00CB4D84" w:rsidRPr="00775EB7" w:rsidRDefault="00CB4D84" w:rsidP="00DE5211">
            <w:pPr>
              <w:pStyle w:val="Listaszerbekezds"/>
              <w:contextualSpacing w:val="0"/>
              <w:rPr>
                <w:rFonts w:ascii="Garamond" w:hAnsi="Garamond"/>
                <w:sz w:val="22"/>
                <w:szCs w:val="22"/>
              </w:rPr>
            </w:pPr>
          </w:p>
          <w:p w:rsidR="00CB4D84" w:rsidRPr="00775EB7" w:rsidRDefault="00CB4D84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idegen nyelvű</w:t>
            </w:r>
          </w:p>
          <w:p w:rsidR="00CB4D84" w:rsidRPr="00775EB7" w:rsidRDefault="00CB4D84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1. Koskenniemi, M., </w:t>
            </w:r>
            <w:r w:rsidRPr="00775EB7">
              <w:rPr>
                <w:rStyle w:val="Kiemels"/>
                <w:rFonts w:ascii="Garamond" w:hAnsi="Garamond"/>
                <w:i w:val="0"/>
                <w:iCs w:val="0"/>
                <w:sz w:val="22"/>
                <w:szCs w:val="22"/>
                <w:bdr w:val="none" w:sz="0" w:space="0" w:color="auto" w:frame="1"/>
              </w:rPr>
              <w:t>The Politics of International Law</w:t>
            </w:r>
            <w:r w:rsidRPr="00775EB7">
              <w:rPr>
                <w:rFonts w:ascii="Garamond" w:hAnsi="Garamond"/>
                <w:sz w:val="22"/>
                <w:szCs w:val="22"/>
              </w:rPr>
              <w:t>, Oxford etc. : Hart, 2011</w:t>
            </w:r>
          </w:p>
          <w:p w:rsidR="00CB4D84" w:rsidRPr="00775EB7" w:rsidRDefault="00CB4D84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CB4D84" w:rsidRPr="00775EB7" w:rsidTr="00DE5211">
        <w:tc>
          <w:tcPr>
            <w:tcW w:w="9212" w:type="dxa"/>
            <w:gridSpan w:val="2"/>
          </w:tcPr>
          <w:p w:rsidR="00CB4D84" w:rsidRPr="00775EB7" w:rsidRDefault="00CB4D84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lastRenderedPageBreak/>
              <w:t>További szakirodalom:</w:t>
            </w:r>
          </w:p>
          <w:p w:rsidR="00CB4D84" w:rsidRPr="00775EB7" w:rsidRDefault="00CB4D84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</w:tbl>
    <w:p w:rsidR="00D32926" w:rsidRDefault="00CB4D84"/>
    <w:sectPr w:rsidR="00D32926" w:rsidSect="00C3598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7361DC"/>
    <w:multiLevelType w:val="hybridMultilevel"/>
    <w:tmpl w:val="9C02985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400DD4"/>
    <w:multiLevelType w:val="hybridMultilevel"/>
    <w:tmpl w:val="498293AA"/>
    <w:lvl w:ilvl="0" w:tplc="040E000F">
      <w:start w:val="1"/>
      <w:numFmt w:val="decimal"/>
      <w:lvlText w:val="%1."/>
      <w:lvlJc w:val="left"/>
      <w:pPr>
        <w:ind w:left="1146" w:hanging="360"/>
      </w:pPr>
    </w:lvl>
    <w:lvl w:ilvl="1" w:tplc="040E0019" w:tentative="1">
      <w:start w:val="1"/>
      <w:numFmt w:val="lowerLetter"/>
      <w:lvlText w:val="%2."/>
      <w:lvlJc w:val="left"/>
      <w:pPr>
        <w:ind w:left="1866" w:hanging="360"/>
      </w:pPr>
    </w:lvl>
    <w:lvl w:ilvl="2" w:tplc="040E001B" w:tentative="1">
      <w:start w:val="1"/>
      <w:numFmt w:val="lowerRoman"/>
      <w:lvlText w:val="%3."/>
      <w:lvlJc w:val="right"/>
      <w:pPr>
        <w:ind w:left="2586" w:hanging="180"/>
      </w:pPr>
    </w:lvl>
    <w:lvl w:ilvl="3" w:tplc="040E000F" w:tentative="1">
      <w:start w:val="1"/>
      <w:numFmt w:val="decimal"/>
      <w:lvlText w:val="%4."/>
      <w:lvlJc w:val="left"/>
      <w:pPr>
        <w:ind w:left="3306" w:hanging="360"/>
      </w:pPr>
    </w:lvl>
    <w:lvl w:ilvl="4" w:tplc="040E0019" w:tentative="1">
      <w:start w:val="1"/>
      <w:numFmt w:val="lowerLetter"/>
      <w:lvlText w:val="%5."/>
      <w:lvlJc w:val="left"/>
      <w:pPr>
        <w:ind w:left="4026" w:hanging="360"/>
      </w:pPr>
    </w:lvl>
    <w:lvl w:ilvl="5" w:tplc="040E001B" w:tentative="1">
      <w:start w:val="1"/>
      <w:numFmt w:val="lowerRoman"/>
      <w:lvlText w:val="%6."/>
      <w:lvlJc w:val="right"/>
      <w:pPr>
        <w:ind w:left="4746" w:hanging="180"/>
      </w:pPr>
    </w:lvl>
    <w:lvl w:ilvl="6" w:tplc="040E000F" w:tentative="1">
      <w:start w:val="1"/>
      <w:numFmt w:val="decimal"/>
      <w:lvlText w:val="%7."/>
      <w:lvlJc w:val="left"/>
      <w:pPr>
        <w:ind w:left="5466" w:hanging="360"/>
      </w:pPr>
    </w:lvl>
    <w:lvl w:ilvl="7" w:tplc="040E0019" w:tentative="1">
      <w:start w:val="1"/>
      <w:numFmt w:val="lowerLetter"/>
      <w:lvlText w:val="%8."/>
      <w:lvlJc w:val="left"/>
      <w:pPr>
        <w:ind w:left="6186" w:hanging="360"/>
      </w:pPr>
    </w:lvl>
    <w:lvl w:ilvl="8" w:tplc="040E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D84"/>
    <w:rsid w:val="00622808"/>
    <w:rsid w:val="00C35988"/>
    <w:rsid w:val="00CB4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56B8122"/>
  <w14:defaultImageDpi w14:val="32767"/>
  <w15:chartTrackingRefBased/>
  <w15:docId w15:val="{78D824A1-7EB3-0147-A744-6EC423EBD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">
    <w:name w:val="Normal"/>
    <w:qFormat/>
    <w:rsid w:val="00CB4D84"/>
    <w:rPr>
      <w:rFonts w:eastAsia="Calibri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CB4D84"/>
    <w:pPr>
      <w:ind w:left="720"/>
      <w:contextualSpacing/>
    </w:pPr>
  </w:style>
  <w:style w:type="character" w:styleId="Kiemels">
    <w:name w:val="Emphasis"/>
    <w:uiPriority w:val="20"/>
    <w:qFormat/>
    <w:rsid w:val="00CB4D84"/>
    <w:rPr>
      <w:i/>
      <w:iCs/>
    </w:rPr>
  </w:style>
  <w:style w:type="paragraph" w:customStyle="1" w:styleId="bek2">
    <w:name w:val="bek2"/>
    <w:basedOn w:val="Norml"/>
    <w:uiPriority w:val="99"/>
    <w:rsid w:val="00CB4D84"/>
    <w:pPr>
      <w:tabs>
        <w:tab w:val="left" w:pos="5670"/>
      </w:tabs>
      <w:spacing w:line="360" w:lineRule="atLeast"/>
      <w:ind w:left="567" w:hanging="567"/>
      <w:jc w:val="both"/>
    </w:pPr>
    <w:rPr>
      <w:rFonts w:eastAsia="Times New Roman"/>
      <w:sz w:val="2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783</Words>
  <Characters>5405</Characters>
  <Application>Microsoft Office Word</Application>
  <DocSecurity>0</DocSecurity>
  <Lines>45</Lines>
  <Paragraphs>12</Paragraphs>
  <ScaleCrop>false</ScaleCrop>
  <Company/>
  <LinksUpToDate>false</LinksUpToDate>
  <CharactersWithSpaces>6176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Office-felhasználó</dc:creator>
  <cp:keywords/>
  <dc:description/>
  <cp:lastModifiedBy>Microsoft Office-felhasználó</cp:lastModifiedBy>
  <cp:revision>1</cp:revision>
  <dcterms:created xsi:type="dcterms:W3CDTF">2024-09-05T09:29:00Z</dcterms:created>
  <dcterms:modified xsi:type="dcterms:W3CDTF">2024-09-05T09:29:00Z</dcterms:modified>
</cp:coreProperties>
</file>